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2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0" w:type="dxa"/>
          <w:right w:w="0" w:type="dxa"/>
        </w:tblCellMar>
        <w:tblLook w:val="0000" w:firstRow="0" w:lastRow="0" w:firstColumn="0" w:lastColumn="0" w:noHBand="0" w:noVBand="0"/>
      </w:tblPr>
      <w:tblGrid>
        <w:gridCol w:w="12240"/>
      </w:tblGrid>
      <w:tr>
        <w:trPr>
          <w:cantSplit/>
          <w:trHeight w:val="15800"/>
        </w:trPr>
        <w:tc>
          <w:tcPr>
            <w:tcW w:w="12240" w:type="dxa"/>
            <w:shd w:val="clear" w:color="auto" w:fill="231E1C"/>
            <w:tcMar>
              <w:top w:w="384" w:type="dxa"/>
              <w:left w:w="0" w:type="dxa"/>
              <w:bottom w:w="0" w:type="dxa"/>
              <w:right w:w="0" w:type="dxa"/>
            </w:tcMar>
          </w:tcPr>
          <w:tbl>
            <w:tblPr>
              <w:tblW w:w="11472" w:type="dxa"/>
              <w:jc w:val="center"/>
              <w:tblBorders>
                <w:top w:val="single" w:sz="6" w:space="0" w:color="C4A054"/>
                <w:left w:val="single" w:sz="6" w:space="0" w:color="C4A054"/>
                <w:bottom w:val="single" w:sz="6" w:space="0" w:color="C4A054"/>
                <w:right w:val="single" w:sz="6" w:space="0" w:color="C4A054"/>
                <w:insideH w:val="none" w:sz="0" w:space="0" w:color="FFFFFF"/>
                <w:insideV w:val="none" w:sz="0" w:space="0" w:color="FFFFFF"/>
              </w:tblBorders>
              <w:tblCellMar>
                <w:left w:w="0" w:type="dxa"/>
                <w:right w:w="0" w:type="dxa"/>
              </w:tblCellMar>
              <w:tblLook w:val="0000" w:firstRow="0" w:lastRow="0" w:firstColumn="0" w:lastColumn="0" w:noHBand="0" w:noVBand="0"/>
            </w:tblPr>
            <w:tblGrid>
              <w:gridCol w:w="11472"/>
            </w:tblGrid>
            <w:tr>
              <w:trPr>
                <w:cantSplit/>
                <w:trHeight w:val="12960"/>
              </w:trPr>
              <w:tc>
                <w:tcPr>
                  <w:tcW w:w="11472" w:type="dxa"/>
                  <w:shd w:val="clear" w:color="auto" w:fill="231E1C"/>
                  <w:tcMar>
                    <w:top w:w="0" w:type="dxa"/>
                    <w:left w:w="520" w:type="dxa"/>
                    <w:bottom w:w="0" w:type="dxa"/>
                    <w:right w:w="520" w:type="dxa"/>
                  </w:tcMar>
                </w:tcPr>
                <w:p>
                  <w:pPr>
                    <w:spacing w:before="820" w:after="0"/>
                    <w:jc w:val="center"/>
                  </w:pPr>
                  <w:r>
                    <w:rPr>
                      <w:rFonts w:ascii="Inter" w:eastAsia="Inter" w:hAnsi="Inter" w:cs="Inter"/>
                      <w:b/>
                      <w:bCs/>
                      <w:color w:val="C4A054"/>
                      <w:spacing w:val="90"/>
                      <w:sz w:val="17"/>
                      <w:szCs w:val="17"/>
                    </w:rPr>
                    <w:t xml:space="preserve">EMERGING LEADER DEVELOPMENT SERIES</w:t>
                  </w:r>
                </w:p>
                <w:p>
                  <w:pPr>
                    <w:pBdr>
                      <w:bottom w:val="single" w:sz="6" w:space="0" w:color="C4A054"/>
                    </w:pBdr>
                    <w:spacing w:before="170" w:after="0"/>
                    <w:ind w:left="2840" w:right="2840"/>
                  </w:pPr>
                  <w:r>
                    <w:rPr>
                      <w:sz w:val="2"/>
                      <w:szCs w:val="2"/>
                    </w:rPr>
                    <w:t xml:space="preserve"> </w:t>
                  </w:r>
                </w:p>
                <w:p>
                  <w:pPr>
                    <w:spacing w:before="690" w:after="0" w:line="288" w:lineRule="auto"/>
                    <w:jc w:val="center"/>
                  </w:pPr>
                  <w:r>
                    <w:rPr>
                      <w:b/>
                      <w:bCs/>
                      <w:color w:val="F4EFE8"/>
                      <w:sz w:val="60"/>
                      <w:szCs w:val="60"/>
                    </w:rPr>
                    <w:t xml:space="preserve">The Emerging Leader</w:t>
                  </w:r>
                </w:p>
                <w:p>
                  <w:pPr>
                    <w:spacing w:before="0" w:after="0" w:line="288" w:lineRule="auto"/>
                    <w:jc w:val="center"/>
                  </w:pPr>
                  <w:r>
                    <w:rPr>
                      <w:b/>
                      <w:bCs/>
                      <w:color w:val="F4EFE8"/>
                      <w:sz w:val="60"/>
                      <w:szCs w:val="60"/>
                    </w:rPr>
                    <w:t xml:space="preserve">Development Workbook</w:t>
                  </w:r>
                </w:p>
                <w:p>
                  <w:pPr>
                    <w:spacing w:before="180" w:after="0"/>
                    <w:jc w:val="center"/>
                  </w:pPr>
                  <w:r>
                    <w:rPr>
                      <w:rFonts w:ascii="Inter" w:eastAsia="Inter" w:hAnsi="Inter" w:cs="Inter"/>
                      <w:b/>
                      <w:bCs/>
                      <w:color w:val="C4A054"/>
                      <w:spacing w:val="60"/>
                      <w:sz w:val="22"/>
                      <w:szCs w:val="22"/>
                    </w:rPr>
                    <w:t xml:space="preserve">MODULE I  ·  FOUNDATIONS OF LEADERSHIP</w:t>
                  </w:r>
                </w:p>
                <w:p>
                  <w:pPr>
                    <w:spacing w:before="160" w:after="0"/>
                    <w:jc w:val="center"/>
                  </w:pPr>
                  <w:r>
                    <w:rPr>
                      <w:rFonts w:ascii="Inter" w:eastAsia="Inter" w:hAnsi="Inter" w:cs="Inter"/>
                      <w:color w:val="A89C8C"/>
                      <w:spacing w:val="60"/>
                      <w:sz w:val="16"/>
                      <w:szCs w:val="16"/>
                    </w:rPr>
                    <w:t xml:space="preserve">COMPANION TO PARTS ONE, TWO AND THREE</w:t>
                  </w:r>
                </w:p>
                <w:p>
                  <w:pPr>
                    <w:pBdr>
                      <w:bottom w:val="single" w:sz="6" w:space="0" w:color="C4A054"/>
                    </w:pBdr>
                    <w:spacing w:before="170" w:after="0"/>
                    <w:ind w:left="824" w:right="824"/>
                  </w:pPr>
                  <w:r>
                    <w:rPr>
                      <w:sz w:val="2"/>
                      <w:szCs w:val="2"/>
                    </w:rPr>
                    <w:t xml:space="preserve"> </w:t>
                  </w:r>
                </w:p>
                <w:p>
                  <w:pPr>
                    <w:spacing w:before="720" w:after="0" w:line="312" w:lineRule="auto"/>
                    <w:jc w:val="center"/>
                  </w:pPr>
                  <w:r>
                    <w:rPr>
                      <w:i/>
                      <w:iCs/>
                      <w:color w:val="F4EFE8"/>
                      <w:sz w:val="26"/>
                      <w:szCs w:val="26"/>
                    </w:rPr>
                    <w:t xml:space="preserve">This is only where you keep the work.</w:t>
                  </w:r>
                </w:p>
                <w:p>
                  <w:pPr>
                    <w:spacing w:before="0" w:after="0" w:line="312" w:lineRule="auto"/>
                    <w:jc w:val="center"/>
                  </w:pPr>
                  <w:r>
                    <w:rPr>
                      <w:i/>
                      <w:iCs/>
                      <w:color w:val="F4EFE8"/>
                      <w:sz w:val="26"/>
                      <w:szCs w:val="26"/>
                    </w:rPr>
                    <w:t xml:space="preserve">The proof lives somewhere else.</w:t>
                  </w:r>
                </w:p>
                <w:p>
                  <w:pPr>
                    <w:spacing w:before="200" w:after="0"/>
                    <w:jc w:val="center"/>
                  </w:pPr>
                  <w:r>
                    <w:rPr>
                      <w:rFonts w:ascii="Inter" w:eastAsia="Inter" w:hAnsi="Inter" w:cs="Inter"/>
                      <w:color w:val="A89C8C"/>
                      <w:sz w:val="16"/>
                      <w:szCs w:val="16"/>
                    </w:rPr>
                    <w:t xml:space="preserve">Free. No account required.</w:t>
                  </w:r>
                </w:p>
                <w:p>
                  <w:pPr>
                    <w:spacing w:before="780" w:after="0"/>
                    <w:jc w:val="center"/>
                  </w:pP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r>
                    <w:rPr>
                      <w:rFonts w:ascii="Inter" w:eastAsia="Inter" w:hAnsi="Inter" w:cs="Inter"/>
                      <w:sz w:val="14"/>
                      <w:szCs w:val="14"/>
                    </w:rPr>
                    <w:t xml:space="preserve"> </w:t>
                  </w:r>
                  <w:r>
                    <w:rPr>
                      <w:rFonts w:ascii="Inter" w:eastAsia="Inter" w:hAnsi="Inter" w:cs="Inter"/>
                      <w:color w:val="6B5B4B"/>
                      <w:sz w:val="18"/>
                      <w:szCs w:val="18"/>
                    </w:rPr>
                    <w:t xml:space="preserve">○</w:t>
                  </w:r>
                </w:p>
                <w:p>
                  <w:pPr>
                    <w:spacing w:before="170" w:after="0"/>
                    <w:jc w:val="center"/>
                  </w:pPr>
                  <w:r>
                    <w:rPr>
                      <w:rFonts w:ascii="Inter" w:eastAsia="Inter" w:hAnsi="Inter" w:cs="Inter"/>
                      <w:color w:val="8C7F6E"/>
                      <w:spacing w:val="60"/>
                      <w:sz w:val="13"/>
                      <w:szCs w:val="13"/>
                    </w:rPr>
                    <w:t xml:space="preserve">TEN PRACTICES  ·  ONE LIVE RESPONSIBILITY</w:t>
                  </w:r>
                </w:p>
              </w:tc>
            </w:tr>
            <w:tr>
              <w:trPr>
                <w:cantSplit/>
                <w:trHeight w:val="2112"/>
              </w:trPr>
              <w:tc>
                <w:tcPr>
                  <w:tcW w:w="11472" w:type="dxa"/>
                  <w:shd w:val="clear" w:color="auto" w:fill="231E1C"/>
                  <w:tcMar>
                    <w:top w:w="0" w:type="dxa"/>
                    <w:left w:w="520" w:type="dxa"/>
                    <w:bottom w:w="0" w:type="dxa"/>
                    <w:right w:w="520" w:type="dxa"/>
                  </w:tcMar>
                </w:tcPr>
                <w:p>
                  <w:pPr>
                    <w:pBdr>
                      <w:bottom w:val="single" w:sz="6" w:space="0" w:color="C4A054"/>
                    </w:pBdr>
                    <w:spacing w:before="0" w:after="0"/>
                    <w:ind w:left="824" w:right="824"/>
                  </w:pPr>
                  <w:r>
                    <w:rPr>
                      <w:sz w:val="2"/>
                      <w:szCs w:val="2"/>
                    </w:rPr>
                    <w:t xml:space="preserve"> </w:t>
                  </w:r>
                </w:p>
                <w:p>
                  <w:pPr>
                    <w:spacing w:before="300" w:after="0"/>
                    <w:jc w:val="center"/>
                  </w:pPr>
                  <w:r>
                    <w:rPr>
                      <w:rFonts w:ascii="Inter" w:eastAsia="Inter" w:hAnsi="Inter" w:cs="Inter"/>
                      <w:b/>
                      <w:bCs/>
                      <w:color w:val="F4EFE8"/>
                      <w:spacing w:val="80"/>
                      <w:sz w:val="20"/>
                      <w:szCs w:val="20"/>
                    </w:rPr>
                    <w:t xml:space="preserve">J.W. WALKER</w:t>
                  </w:r>
                </w:p>
                <w:p>
                  <w:pPr>
                    <w:spacing w:before="180" w:after="0"/>
                    <w:jc w:val="center"/>
                  </w:pPr>
                  <w:r>
                    <w:rPr>
                      <w:rFonts w:ascii="Inter" w:eastAsia="Inter" w:hAnsi="Inter" w:cs="Inter"/>
                      <w:color w:val="C4A054"/>
                      <w:spacing w:val="20"/>
                      <w:sz w:val="17"/>
                      <w:szCs w:val="17"/>
                    </w:rPr>
                    <w:t xml:space="preserve">jeremywalker.us</w:t>
                  </w:r>
                </w:p>
              </w:tc>
            </w:tr>
          </w:tbl>
          <w:p>
            <w:pPr>
              <w:spacing w:before="0" w:after="0"/>
            </w:pPr>
            <w:r>
              <w:rPr>
                <w:sz w:val="2"/>
                <w:szCs w:val="2"/>
              </w:rPr>
              <w:t xml:space="preserve"> </w:t>
            </w:r>
          </w:p>
        </w:tc>
      </w:tr>
    </w:tbl>
    <w:p>
      <w:pPr>
        <w:sectPr>
          <w:pgSz w:w="12240" w:h="15840"/>
          <w:pgMar w:top="0" w:right="0" w:bottom="0" w:left="0" w:header="0" w:footer="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HOW TO USE THIS</w:t>
      </w:r>
    </w:p>
    <w:p>
      <w:pPr>
        <w:pStyle w:val="Heading1"/>
        <w:rPr>
          <w:sz w:val="44"/>
          <w:szCs w:val="44"/>
        </w:rPr>
      </w:pPr>
      <w:r>
        <w:rPr>
          <w:sz w:val="44"/>
          <w:szCs w:val="44"/>
        </w:rPr>
        <w:t xml:space="preserve">Keep the work somewhere it survives.</w:t>
      </w:r>
    </w:p>
    <w:p>
      <w:pPr>
        <w:pStyle w:val="JWBody"/>
      </w:pPr>
      <w:r>
        <w:t xml:space="preserve">This is the companion workbook for Module I: Foundations of Leadership. It holds the write-in surfaces and nothing else — every principle, field practice, debrief and evidence standard stays in the guide. Work from the guide. Keep your answers here.</w:t>
      </w:r>
    </w:p>
    <w:p>
      <w:pPr>
        <w:pStyle w:val="JWBody"/>
      </w:pPr>
      <w:r>
        <w:t xml:space="preserve">It runs across all three parts. Part One covers Practices 1–3, Part Two covers 4–7, Part Three covers 8–10.</w:t>
      </w:r>
    </w:p>
    <w:p>
      <w:pPr>
        <w:pStyle w:val="Heading2"/>
      </w:pPr>
      <w:r>
        <w:t xml:space="preserve">How the pieces fit</w:t>
      </w:r>
    </w:p>
    <w:p>
      <w:pPr>
        <w:pStyle w:val="JWBody"/>
      </w:pPr>
      <w:r>
        <w:t xml:space="preserve">Video is understanding. The guide is application. Real life is the proof. This workbook is only where you keep the work — it is not a substitute for any of the three.</w:t>
      </w:r>
    </w:p>
    <w:p>
      <w:pPr>
        <w:pStyle w:val="Heading2"/>
      </w:pPr>
      <w:r>
        <w:t xml:space="preserve">Three ways to keep it</w:t>
      </w:r>
    </w:p>
    <w:p>
      <w:pPr>
        <w:pStyle w:val="JWBody"/>
      </w:pPr>
      <w:r>
        <w:t xml:space="preserve">Duplicate the workbook in Notion and work there. Use this Word file. Or use any notebook you like. Pick one and stay with it — answers scattered across three places are the same as no answers.</w:t>
      </w:r>
    </w:p>
    <w:p>
      <w:pPr>
        <w:pStyle w:val="JWBody"/>
      </w:pPr>
      <w:r>
        <w:t xml:space="preserve">Notion: https://meadow-hen-706.notion.site/J-W-WALKER-ae94ca27aa778273a70e81b84ebc0d20</w:t>
      </w:r>
    </w:p>
    <w:tbl>
      <w:tblPr>
        <w:tblW w:w="122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8"/>
        <w:gridCol w:w="11862"/>
      </w:tblGrid>
      <w:tr>
        <w:trPr>
          <w:cantSplit/>
        </w:trPr>
        <w:tc>
          <w:tcPr>
            <w:tcW w:w="378" w:type="dxa"/>
            <w:tcBorders>
              <w:top w:val="none" w:sz="0" w:space="0" w:color="FFFFFF"/>
              <w:left w:val="none" w:sz="0" w:space="0" w:color="FFFFFF"/>
              <w:bottom w:val="none" w:sz="0" w:space="0" w:color="FFFFFF"/>
              <w:right w:val="none" w:sz="0" w:space="0" w:color="FFFFFF"/>
            </w:tcBorders>
            <w:shd w:val="clear" w:color="auto" w:fill="A56A32"/>
            <w:tcMar>
              <w:top w:w="0" w:type="dxa"/>
              <w:left w:w="0" w:type="dxa"/>
              <w:bottom w:w="0" w:type="dxa"/>
              <w:right w:w="0" w:type="dxa"/>
            </w:tcMar>
          </w:tcPr>
          <w:p/>
        </w:tc>
        <w:tc>
          <w:tcPr>
            <w:tcW w:w="11862" w:type="dxa"/>
            <w:tcBorders>
              <w:top w:val="none" w:sz="0" w:space="0" w:color="FFFFFF"/>
              <w:left w:val="none" w:sz="0" w:space="0" w:color="FFFFFF"/>
              <w:bottom w:val="none" w:sz="0" w:space="0" w:color="FFFFFF"/>
              <w:right w:val="none" w:sz="0" w:space="0" w:color="FFFFFF"/>
            </w:tcBorders>
            <w:shd w:val="clear" w:color="auto" w:fill="F4EFE8"/>
            <w:tcMar>
              <w:top w:w="120" w:type="dxa"/>
              <w:left w:w="160" w:type="dxa"/>
              <w:bottom w:w="120" w:type="dxa"/>
              <w:right w:w="160" w:type="dxa"/>
            </w:tcMar>
          </w:tcPr>
          <w:p>
            <w:pPr>
              <w:pStyle w:val="JWBoxLabel"/>
            </w:pPr>
            <w:r>
              <w:t xml:space="preserve">THE ONE RULE THAT DOES NOT MOVE</w:t>
            </w:r>
          </w:p>
          <w:p>
            <w:pPr>
              <w:pStyle w:val="JWBoxText"/>
            </w:pPr>
            <w:r>
              <w:t xml:space="preserve">Your evidence has to exist somewhere outside this workbook. A filled-in page is not proof. A changed calendar, a decision that closed, a conversation someone else remembers, a person who is more capable than they were — that is proof.</w:t>
            </w:r>
          </w:p>
        </w:tc>
      </w:tr>
    </w:tbl>
    <w:p>
      <w:pPr>
        <w:spacing w:before="260"/>
      </w:pPr>
      <w:r>
        <w:rPr>
          <w:i/>
          <w:iCs/>
          <w:color w:val="5C534C"/>
          <w:sz w:val="21"/>
          <w:szCs w:val="21"/>
        </w:rPr>
        <w:t xml:space="preserve">Write badly and write honestly. Nobody grades this. The only reader who matters is you, eight weeks from now, trying to work out whether anything actually changed.</w:t>
      </w:r>
    </w:p>
    <w:p>
      <w:pPr>
        <w:sectPr>
          <w:headerReference w:type="default" r:id="rId11"/>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BASELINE</w:t>
      </w:r>
    </w:p>
    <w:p>
      <w:pPr>
        <w:pStyle w:val="Heading1"/>
        <w:rPr>
          <w:sz w:val="44"/>
          <w:szCs w:val="44"/>
        </w:rPr>
      </w:pPr>
      <w:r>
        <w:rPr>
          <w:sz w:val="44"/>
          <w:szCs w:val="44"/>
        </w:rPr>
        <w:t xml:space="preserve">Score yourself before you start.</w:t>
      </w:r>
    </w:p>
    <w:p>
      <w:pPr>
        <w:pStyle w:val="JWBody"/>
      </w:pPr>
      <w:r>
        <w:t xml:space="preserve">Score each item 1 to 5 before you change anything. One means you rarely do this. Five means someone who works with you would say it about you without being asked. Be unflattering — score the last month of your actual behavior, not the leader you intend to become.</w:t>
      </w:r>
    </w:p>
    <w:tbl>
      <w:tblPr>
        <w:tblW w:w="11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
        <w:gridCol w:w="2520"/>
        <w:gridCol w:w="6582"/>
        <w:gridCol w:w="1634"/>
      </w:tblGrid>
      <w:tr>
        <w:trPr>
          <w:cantSplit/>
          <w:trHeight w:val="164"/>
          <w:tblHeader/>
        </w:trPr>
        <w:tc>
          <w:tcPr>
            <w:tcW w:w="933"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w:t>
            </w:r>
          </w:p>
        </w:tc>
        <w:tc>
          <w:tcPr>
            <w:tcW w:w="2520"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Test</w:t>
            </w:r>
          </w:p>
        </w:tc>
        <w:tc>
          <w:tcPr>
            <w:tcW w:w="6582"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The question</w:t>
            </w:r>
          </w:p>
        </w:tc>
        <w:tc>
          <w:tcPr>
            <w:tcW w:w="1634"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Score 1–5</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1</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Reality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see what is actually happening, not what protects my ego.</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2</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Responsibility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own what is mine without trying to own everything.</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3</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Judgment</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separate facts, assumptions, and tradeoffs before I act.</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4</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Direction</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People around me understand where we are going and what success looks like.</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5</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Movement</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Something that matters is actually moving.</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6</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Ownership</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People are thinking and acting, not waiting for me.</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7</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Trust &amp; Standards</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My behavior, expectations, and accountability tell the same story.</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8</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Integrity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pursue the result in a way I am willing to defend.</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9</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Capacity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My involvement is making other people stronger and more capable.</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bl>
    <w:p>
      <w:pPr>
        <w:spacing w:before="220"/>
      </w:pPr>
      <w:r>
        <w:rPr>
          <w:i/>
          <w:iCs/>
          <w:color w:val="5C534C"/>
          <w:sz w:val="21"/>
          <w:szCs w:val="21"/>
        </w:rPr>
        <w:t xml:space="preserve">You score these same nine items again at the end of Part Three. The comparison is the point, so keep this page.</w:t>
      </w:r>
    </w:p>
    <w:p>
      <w:pPr>
        <w:sectPr>
          <w:headerReference w:type="default" r:id="rId12"/>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PART ONE  ·  PRACTICE 1</w:t>
      </w:r>
    </w:p>
    <w:p>
      <w:pPr>
        <w:pStyle w:val="Heading1"/>
        <w:rPr>
          <w:sz w:val="44"/>
          <w:szCs w:val="44"/>
        </w:rPr>
      </w:pPr>
      <w:r>
        <w:rPr>
          <w:sz w:val="44"/>
          <w:szCs w:val="44"/>
        </w:rPr>
        <w:t xml:space="preserve">Leadership Is Demonstrated</w:t>
      </w:r>
    </w:p>
    <w:p>
      <w:pPr>
        <w:pStyle w:val="JWFieldHint"/>
      </w:pPr>
      <w:r>
        <w:t xml:space="preserve">Claim a live responsibility.</w:t>
      </w:r>
    </w:p>
    <w:p>
      <w:pPr>
        <w:pStyle w:val="Heading2"/>
      </w:pPr>
      <w:r>
        <w:t xml:space="preserve">Leadership Spotting</w:t>
      </w:r>
    </w:p>
    <w:p>
      <w:pPr>
        <w:pStyle w:val="JWFieldLabel"/>
        <w:keepNext/>
        <w:spacing w:before="200" w:after="60"/>
      </w:pPr>
      <w:r>
        <w:t xml:space="preserve">PERSON 1 — FORMAL AUTHORITY</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PERSON 2 — INFLUENCE WITHOUT MUCH AUTHORITY</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PERSON 3 — SOMEONE I CONSIDER A GENUINE LEADER</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WOULD PUT IN PLACE OF WHAT I SAW</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MY WORKING DEFINITION OF LEADERSHIP (FOR NOW)</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The responsibility I am claiming</w:t>
      </w:r>
    </w:p>
    <w:p>
      <w:pPr>
        <w:pStyle w:val="JWBody"/>
      </w:pPr>
      <w:r>
        <w:t xml:space="preserve">Everything after this runs against it. If it ends, closes, or changes, pick the next real thing and keep going.</w:t>
      </w:r>
    </w:p>
    <w:p>
      <w:pPr>
        <w:pStyle w:val="JWFieldLabel"/>
        <w:keepNext/>
        <w:spacing w:before="200" w:after="60"/>
      </w:pPr>
      <w:r>
        <w:t xml:space="preserve">WHAT I AM RESPONSIBLE FOR RIGHT NOW</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WHO ELSE IS INVOLVED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OUTCOME I AM ACCOUNTABLE FOR</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WHO WOULD NOTICE IF I DISAPPEARED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13"/>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PART ONE  ·  PRACTICE 2</w:t>
      </w:r>
    </w:p>
    <w:p>
      <w:pPr>
        <w:pStyle w:val="Heading1"/>
        <w:rPr>
          <w:sz w:val="44"/>
          <w:szCs w:val="44"/>
        </w:rPr>
      </w:pPr>
      <w:r>
        <w:rPr>
          <w:sz w:val="44"/>
          <w:szCs w:val="44"/>
        </w:rPr>
        <w:t xml:space="preserve">See Reality Clearly</w:t>
      </w:r>
    </w:p>
    <w:p>
      <w:pPr>
        <w:pStyle w:val="JWFieldHint"/>
      </w:pPr>
      <w:r>
        <w:t xml:space="preserve">Map the system before you fix it.</w:t>
      </w:r>
    </w:p>
    <w:p>
      <w:pPr>
        <w:pStyle w:val="Heading2"/>
      </w:pPr>
      <w:r>
        <w:t xml:space="preserve">System Map</w:t>
      </w:r>
    </w:p>
    <w:p>
      <w:pPr>
        <w:pStyle w:val="JWFieldLabel"/>
        <w:keepNext/>
        <w:spacing w:before="200" w:after="60"/>
      </w:pPr>
      <w:r>
        <w:t xml:space="preserve">THE SITUATION</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FORMAL AUTHORITY</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REAL INFLUENCE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INCENTIVES &amp; INTERESTS</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ALLIANCES &amp; TENSIONS</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RESISTANCE — AND WHAT IT IS PROTECTING</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UNSPOKEN ISSUE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MY BLIND SPOT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Five Whys</w:t>
      </w:r>
    </w:p>
    <w:p>
      <w:pPr>
        <w:pStyle w:val="JWBody"/>
      </w:pPr>
      <w:r>
        <w:t xml:space="preserve">Take one important conclusion and ask why until you reach the assumption underneath it.</w:t>
      </w:r>
    </w:p>
    <w:p>
      <w:pPr>
        <w:pStyle w:val="JWFieldLabel"/>
        <w:keepNext/>
        <w:spacing w:before="200" w:after="60"/>
      </w:pPr>
      <w:r>
        <w:t xml:space="preserve">MY CONCLUSION</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WHY 1</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WHY 2</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WHY 3</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WHY 4</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WHY 5 — THE ASSUMPTION UNDERNEATH</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What survived the challenge</w:t>
      </w:r>
    </w:p>
    <w:p>
      <w:pPr>
        <w:pStyle w:val="JWBody"/>
      </w:pPr>
      <w:r>
        <w:t xml:space="preserve">Who you talked to who sees it differently, and what changed or held.</w:t>
      </w:r>
    </w:p>
    <w:p>
      <w:pPr>
        <w:pStyle w:val="JWFieldLabel"/>
        <w:keepNext/>
        <w:spacing w:before="200" w:after="60"/>
      </w:pPr>
      <w:r>
        <w:t xml:space="preserve">WHO I TALKED TO, AND WHAT THEY SAW</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CHANGED IN MY READ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HELD, AND WHY</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14"/>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PART ONE  ·  PRACTICE 3</w:t>
      </w:r>
    </w:p>
    <w:p>
      <w:pPr>
        <w:pStyle w:val="Heading1"/>
        <w:rPr>
          <w:sz w:val="44"/>
          <w:szCs w:val="44"/>
        </w:rPr>
      </w:pPr>
      <w:r>
        <w:rPr>
          <w:sz w:val="44"/>
          <w:szCs w:val="44"/>
        </w:rPr>
        <w:t xml:space="preserve">Lead Yourself Under Pressure</w:t>
      </w:r>
    </w:p>
    <w:p>
      <w:pPr>
        <w:pStyle w:val="JWFieldHint"/>
      </w:pPr>
      <w:r>
        <w:t xml:space="preserve">Catch the story in the pause.</w:t>
      </w:r>
    </w:p>
    <w:p>
      <w:pPr>
        <w:pStyle w:val="Heading2"/>
      </w:pPr>
      <w:r>
        <w:t xml:space="preserve">Story Log</w:t>
      </w:r>
    </w:p>
    <w:p>
      <w:pPr>
        <w:pStyle w:val="JWBody"/>
      </w:pPr>
      <w:r>
        <w:t xml:space="preserve">For one week, log the moments where your reaction was bigger than the event. Do it afterward, not in the moment.</w:t>
      </w:r>
    </w:p>
    <w:p>
      <w:pPr>
        <w:pStyle w:val="JWFieldLabel"/>
        <w:keepNext/>
        <w:spacing w:before="200" w:after="60"/>
      </w:pPr>
      <w:r>
        <w:t xml:space="preserve">1.  WHAT HAPPENED</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WHAT I TOLD MYSELF</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WHAT I DID</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2.  WHAT HAPPENED</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WHAT I TOLD MYSELF</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WHAT I DID</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3.  WHAT HAPPENED</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WHAT I TOLD MYSELF</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WHAT I DID</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The moment that counts</w:t>
      </w:r>
    </w:p>
    <w:p>
      <w:pPr>
        <w:pStyle w:val="JWFieldLabel"/>
        <w:keepNext/>
        <w:spacing w:before="200" w:after="60"/>
      </w:pPr>
      <w:r>
        <w:t xml:space="preserve">WHAT MY FIRST IMPULSE WOULD HAVE DONE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WAS PROTECTING</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CHOSE INSTEAD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CHANGED BECAUSE OF THE PAUSE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15"/>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CHECKPOINT 1</w:t>
      </w:r>
    </w:p>
    <w:p>
      <w:pPr>
        <w:pStyle w:val="Heading1"/>
        <w:rPr>
          <w:sz w:val="44"/>
          <w:szCs w:val="44"/>
        </w:rPr>
      </w:pPr>
      <w:r>
        <w:rPr>
          <w:sz w:val="44"/>
          <w:szCs w:val="44"/>
        </w:rPr>
        <w:t xml:space="preserve">Before you go further.</w:t>
      </w:r>
    </w:p>
    <w:p>
      <w:pPr>
        <w:pStyle w:val="JWBody"/>
      </w:pPr>
      <w:r>
        <w:t xml:space="preserve">Take what you have to the person holding you accountable. Bring the responsibility you claimed, your read on the system, and one moment where your reaction was bigger than the event.</w:t>
      </w:r>
    </w:p>
    <w:p>
      <w:pPr>
        <w:pStyle w:val="JWFieldLabel"/>
        <w:keepNext/>
        <w:spacing w:before="200" w:after="60"/>
      </w:pPr>
      <w:r>
        <w:t xml:space="preserve">WHAT I BROUGHT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THEY CHALLENGED</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NOW BELIEVE DIFFERENTLY</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THEY WANT TO SEE BY THE END OF PART TWO</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tbl>
      <w:tblPr>
        <w:tblW w:w="122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8"/>
        <w:gridCol w:w="11862"/>
      </w:tblGrid>
      <w:tr>
        <w:trPr>
          <w:cantSplit/>
        </w:trPr>
        <w:tc>
          <w:tcPr>
            <w:tcW w:w="378" w:type="dxa"/>
            <w:tcBorders>
              <w:top w:val="none" w:sz="0" w:space="0" w:color="FFFFFF"/>
              <w:left w:val="none" w:sz="0" w:space="0" w:color="FFFFFF"/>
              <w:bottom w:val="none" w:sz="0" w:space="0" w:color="FFFFFF"/>
              <w:right w:val="none" w:sz="0" w:space="0" w:color="FFFFFF"/>
            </w:tcBorders>
            <w:shd w:val="clear" w:color="auto" w:fill="A56A32"/>
            <w:tcMar>
              <w:top w:w="0" w:type="dxa"/>
              <w:left w:w="0" w:type="dxa"/>
              <w:bottom w:w="0" w:type="dxa"/>
              <w:right w:w="0" w:type="dxa"/>
            </w:tcMar>
          </w:tcPr>
          <w:p/>
        </w:tc>
        <w:tc>
          <w:tcPr>
            <w:tcW w:w="11862" w:type="dxa"/>
            <w:tcBorders>
              <w:top w:val="none" w:sz="0" w:space="0" w:color="FFFFFF"/>
              <w:left w:val="none" w:sz="0" w:space="0" w:color="FFFFFF"/>
              <w:bottom w:val="none" w:sz="0" w:space="0" w:color="FFFFFF"/>
              <w:right w:val="none" w:sz="0" w:space="0" w:color="FFFFFF"/>
            </w:tcBorders>
            <w:shd w:val="clear" w:color="auto" w:fill="F4EFE8"/>
            <w:tcMar>
              <w:top w:w="120" w:type="dxa"/>
              <w:left w:w="160" w:type="dxa"/>
              <w:bottom w:w="120" w:type="dxa"/>
              <w:right w:w="160" w:type="dxa"/>
            </w:tcMar>
          </w:tcPr>
          <w:p>
            <w:pPr>
              <w:pStyle w:val="JWBoxLabel"/>
            </w:pPr>
            <w:r>
              <w:t xml:space="preserve">IF YOU CANNOT SHOW IT</w:t>
            </w:r>
          </w:p>
          <w:p>
            <w:pPr>
              <w:pStyle w:val="JWBoxText"/>
            </w:pPr>
            <w:r>
              <w:t xml:space="preserve">Nothing is timing you. Go back and run the practice again on something real, then come back to this page. A checkpoint you passed on description is a checkpoint you did not pass.</w:t>
            </w:r>
          </w:p>
        </w:tc>
      </w:tr>
    </w:tbl>
    <w:p>
      <w:pPr>
        <w:sectPr>
          <w:headerReference w:type="default" r:id="rId16"/>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NOTES</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sectPr>
          <w:headerReference w:type="default" r:id="rId17"/>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PART TWO  ·  PRACTICE 4</w:t>
      </w:r>
    </w:p>
    <w:p>
      <w:pPr>
        <w:pStyle w:val="Heading1"/>
        <w:rPr>
          <w:sz w:val="44"/>
          <w:szCs w:val="44"/>
        </w:rPr>
      </w:pPr>
      <w:r>
        <w:rPr>
          <w:sz w:val="44"/>
          <w:szCs w:val="44"/>
        </w:rPr>
        <w:t xml:space="preserve">Take Responsibility</w:t>
      </w:r>
    </w:p>
    <w:p>
      <w:pPr>
        <w:pStyle w:val="JWFieldHint"/>
      </w:pPr>
      <w:r>
        <w:t xml:space="preserve">Fault, ownership, and control.</w:t>
      </w:r>
    </w:p>
    <w:p>
      <w:pPr>
        <w:pStyle w:val="Heading2"/>
      </w:pPr>
      <w:r>
        <w:t xml:space="preserve">Ownership Sort</w:t>
      </w:r>
    </w:p>
    <w:p>
      <w:pPr>
        <w:pStyle w:val="JWFieldLabel"/>
        <w:keepNext/>
        <w:spacing w:before="200" w:after="60"/>
      </w:pPr>
      <w:r>
        <w:t xml:space="preserve">WHAT I OWN</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INFLUENCE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BELONGS TO SOMEONE ELSE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IS OUTSIDE ANYONE’S CONTROL HERE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The two moves</w:t>
      </w:r>
    </w:p>
    <w:p>
      <w:pPr>
        <w:pStyle w:val="JWFieldLabel"/>
        <w:keepNext/>
        <w:spacing w:before="200" w:after="60"/>
      </w:pPr>
      <w:r>
        <w:t xml:space="preserve">ACTION I WILL TAKE THIS WEEK ON WHAT IS MINE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THING I WILL STOP CARRYING — AND WHO I WILL TELL</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HAPPENED WHEN I TOLD THEM</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18"/>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PART TWO  ·  PRACTICE 5</w:t>
      </w:r>
    </w:p>
    <w:p>
      <w:pPr>
        <w:pStyle w:val="Heading1"/>
        <w:rPr>
          <w:sz w:val="44"/>
          <w:szCs w:val="44"/>
        </w:rPr>
      </w:pPr>
      <w:r>
        <w:rPr>
          <w:sz w:val="44"/>
          <w:szCs w:val="44"/>
        </w:rPr>
        <w:t xml:space="preserve">Exercise Judgment</w:t>
      </w:r>
    </w:p>
    <w:p>
      <w:pPr>
        <w:pStyle w:val="JWFieldHint"/>
      </w:pPr>
      <w:r>
        <w:t xml:space="preserve">Sort the decision. Place it.</w:t>
      </w:r>
    </w:p>
    <w:p>
      <w:pPr>
        <w:pStyle w:val="Heading2"/>
      </w:pPr>
      <w:r>
        <w:t xml:space="preserve">Judgment Diagnostic</w:t>
      </w:r>
    </w:p>
    <w:p>
      <w:pPr>
        <w:pStyle w:val="JWFieldLabel"/>
        <w:keepNext/>
        <w:spacing w:before="200" w:after="60"/>
      </w:pPr>
      <w:r>
        <w:t xml:space="preserve">THE DECISION</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KNOW — AND HOW I KNOW IT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AM ASSUMING</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MATTERS MOST HERE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TRADEOFFS</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COST OF ACTING</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COST OF WAITING</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REVERSIBLE OR IRREVERSIBLE</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WHOSE CALL IS IT, ACTUALLY</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MY DECISION MOVE — DECIDE, RECOMMEND, ESCALATE, OR NAME THE MISSING FACT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Pre-mortem</w:t>
      </w:r>
    </w:p>
    <w:p>
      <w:pPr>
        <w:pStyle w:val="JWBody"/>
      </w:pPr>
      <w:r>
        <w:t xml:space="preserve">It is six months out and this failed. Why?</w:t>
      </w:r>
    </w:p>
    <w:p>
      <w:pPr>
        <w:pStyle w:val="JWFieldLabel"/>
        <w:keepNext/>
        <w:spacing w:before="200" w:after="60"/>
      </w:pPr>
      <w:r>
        <w:t xml:space="preserve">WHY IT FAILED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COULD I HAVE KNOWN NOW</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WILL CHANGE TODAY</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19"/>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PART TWO  ·  PRACTICE 6</w:t>
      </w:r>
    </w:p>
    <w:p>
      <w:pPr>
        <w:pStyle w:val="Heading1"/>
        <w:rPr>
          <w:sz w:val="44"/>
          <w:szCs w:val="44"/>
        </w:rPr>
      </w:pPr>
      <w:r>
        <w:rPr>
          <w:sz w:val="44"/>
          <w:szCs w:val="44"/>
        </w:rPr>
        <w:t xml:space="preserve">Create Direction &amp; Alignment</w:t>
      </w:r>
    </w:p>
    <w:p>
      <w:pPr>
        <w:pStyle w:val="JWFieldHint"/>
      </w:pPr>
      <w:r>
        <w:t xml:space="preserve">Make the destination transferable.</w:t>
      </w:r>
    </w:p>
    <w:p>
      <w:pPr>
        <w:pStyle w:val="Heading2"/>
      </w:pPr>
      <w:r>
        <w:t xml:space="preserve">Direction Brief</w:t>
      </w:r>
    </w:p>
    <w:p>
      <w:pPr>
        <w:pStyle w:val="JWBody"/>
      </w:pPr>
      <w:r>
        <w:t xml:space="preserve">Write it from memory first. Whatever you cannot fill in without checking is the part that has been living only in your head.</w:t>
      </w:r>
    </w:p>
    <w:p>
      <w:pPr>
        <w:pStyle w:val="JWFieldLabel"/>
        <w:keepNext/>
        <w:spacing w:before="200" w:after="60"/>
      </w:pPr>
      <w:r>
        <w:t xml:space="preserve">WHERE WE ARE GOING</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WHY IT MATTERS</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SUCCESS LOOKS LIKE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IS NOT CHANGING</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THEY CAN DECIDE WITHOUT ME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The back-brief</w:t>
      </w:r>
    </w:p>
    <w:p>
      <w:pPr>
        <w:pStyle w:val="JWBody"/>
      </w:pPr>
      <w:r>
        <w:t xml:space="preserve">Hand it over and ask them to explain it back in their own words. Not to agree with it. To repeat it.</w:t>
      </w:r>
    </w:p>
    <w:p>
      <w:pPr>
        <w:pStyle w:val="JWFieldLabel"/>
        <w:keepNext/>
        <w:spacing w:before="200" w:after="60"/>
      </w:pPr>
      <w:r>
        <w:t xml:space="preserve">WHAT CAME BACK</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GAP</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0"/>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PART TWO  ·  PRACTICE 7</w:t>
      </w:r>
    </w:p>
    <w:p>
      <w:pPr>
        <w:pStyle w:val="Heading1"/>
        <w:rPr>
          <w:sz w:val="44"/>
          <w:szCs w:val="44"/>
        </w:rPr>
      </w:pPr>
      <w:r>
        <w:rPr>
          <w:sz w:val="44"/>
          <w:szCs w:val="44"/>
        </w:rPr>
        <w:t xml:space="preserve">Make It Move</w:t>
      </w:r>
    </w:p>
    <w:p>
      <w:pPr>
        <w:pStyle w:val="JWFieldHint"/>
      </w:pPr>
      <w:r>
        <w:t xml:space="preserve">Find the blockage. Unstick it.</w:t>
      </w:r>
    </w:p>
    <w:p>
      <w:pPr>
        <w:pStyle w:val="Heading2"/>
      </w:pPr>
      <w:r>
        <w:t xml:space="preserve">Stall Audit</w:t>
      </w:r>
    </w:p>
    <w:p>
      <w:pPr>
        <w:pStyle w:val="JWBody"/>
      </w:pPr>
      <w:r>
        <w:t xml:space="preserve">List what is in motion. For each one, name what it is genuinely waiting on. “Time” is not an answer.</w:t>
      </w:r>
    </w:p>
    <w:p>
      <w:pPr>
        <w:pStyle w:val="JWFieldLabel"/>
        <w:keepNext/>
        <w:spacing w:before="200" w:after="60"/>
      </w:pPr>
      <w:r>
        <w:t xml:space="preserve">1.  WHAT IS STALLED</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WHAT IT IS ACTUALLY WAITING ON</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WHO CAN RELEASE IT</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2.  WHAT IS STALLED</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WHAT IT IS ACTUALLY WAITING ON</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WHO CAN RELEASE IT</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3.  WHAT IS STALLED</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WHAT IT IS ACTUALLY WAITING ON</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     WHO CAN RELEASE IT</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The smallest move that is still real</w:t>
      </w:r>
    </w:p>
    <w:p>
      <w:pPr>
        <w:pStyle w:val="JWFieldLabel"/>
        <w:keepNext/>
        <w:spacing w:before="200" w:after="60"/>
      </w:pPr>
      <w:r>
        <w:t xml:space="preserve">THE BLOCKAGE THAT MATTERED MOST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DECISION I MADE OR FORCED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CHANGED POSITION BECAUSE OF IT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WAS AVOIDING BY STAYING BUSY ELSEWHERE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1"/>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CHECKPOINT 2</w:t>
      </w:r>
    </w:p>
    <w:p>
      <w:pPr>
        <w:pStyle w:val="Heading1"/>
        <w:rPr>
          <w:sz w:val="44"/>
          <w:szCs w:val="44"/>
        </w:rPr>
      </w:pPr>
      <w:r>
        <w:rPr>
          <w:sz w:val="44"/>
          <w:szCs w:val="44"/>
        </w:rPr>
        <w:t xml:space="preserve">Before you go further.</w:t>
      </w:r>
    </w:p>
    <w:p>
      <w:pPr>
        <w:pStyle w:val="JWBody"/>
      </w:pPr>
      <w:r>
        <w:t xml:space="preserve">Bring the decision you diagnosed, the direction you wrote and what came back, and the thing that moved.</w:t>
      </w:r>
    </w:p>
    <w:p>
      <w:pPr>
        <w:pStyle w:val="JWFieldLabel"/>
        <w:keepNext/>
        <w:spacing w:before="200" w:after="60"/>
      </w:pPr>
      <w:r>
        <w:t xml:space="preserve">WHAT I BROUGHT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WHICH OF IT ACTUALLY CHANGED SOMETHING</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WHERE I AM STILL THE THING WORK WAITS ON</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HAVE BEEN AVOIDING THAT THEY CAN SEE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tbl>
      <w:tblPr>
        <w:tblW w:w="122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8"/>
        <w:gridCol w:w="11862"/>
      </w:tblGrid>
      <w:tr>
        <w:trPr>
          <w:cantSplit/>
        </w:trPr>
        <w:tc>
          <w:tcPr>
            <w:tcW w:w="378" w:type="dxa"/>
            <w:tcBorders>
              <w:top w:val="none" w:sz="0" w:space="0" w:color="FFFFFF"/>
              <w:left w:val="none" w:sz="0" w:space="0" w:color="FFFFFF"/>
              <w:bottom w:val="none" w:sz="0" w:space="0" w:color="FFFFFF"/>
              <w:right w:val="none" w:sz="0" w:space="0" w:color="FFFFFF"/>
            </w:tcBorders>
            <w:shd w:val="clear" w:color="auto" w:fill="A56A32"/>
            <w:tcMar>
              <w:top w:w="0" w:type="dxa"/>
              <w:left w:w="0" w:type="dxa"/>
              <w:bottom w:w="0" w:type="dxa"/>
              <w:right w:w="0" w:type="dxa"/>
            </w:tcMar>
          </w:tcPr>
          <w:p/>
        </w:tc>
        <w:tc>
          <w:tcPr>
            <w:tcW w:w="11862" w:type="dxa"/>
            <w:tcBorders>
              <w:top w:val="none" w:sz="0" w:space="0" w:color="FFFFFF"/>
              <w:left w:val="none" w:sz="0" w:space="0" w:color="FFFFFF"/>
              <w:bottom w:val="none" w:sz="0" w:space="0" w:color="FFFFFF"/>
              <w:right w:val="none" w:sz="0" w:space="0" w:color="FFFFFF"/>
            </w:tcBorders>
            <w:shd w:val="clear" w:color="auto" w:fill="F4EFE8"/>
            <w:tcMar>
              <w:top w:w="120" w:type="dxa"/>
              <w:left w:w="160" w:type="dxa"/>
              <w:bottom w:w="120" w:type="dxa"/>
              <w:right w:w="160" w:type="dxa"/>
            </w:tcMar>
          </w:tcPr>
          <w:p>
            <w:pPr>
              <w:pStyle w:val="JWBoxLabel"/>
            </w:pPr>
            <w:r>
              <w:t xml:space="preserve">IF YOU CANNOT SHOW IT</w:t>
            </w:r>
          </w:p>
          <w:p>
            <w:pPr>
              <w:pStyle w:val="JWBoxText"/>
            </w:pPr>
            <w:r>
              <w:t xml:space="preserve">Go back and run the practice again on something real. Part Three asks what other people can do differently because of you, and that question has no answer if nothing moved here.</w:t>
            </w:r>
          </w:p>
        </w:tc>
      </w:tr>
    </w:tbl>
    <w:p>
      <w:pPr>
        <w:sectPr>
          <w:headerReference w:type="default" r:id="rId22"/>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NOTES</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3"/>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PART THREE  ·  PRACTICE 8</w:t>
      </w:r>
    </w:p>
    <w:p>
      <w:pPr>
        <w:pStyle w:val="Heading1"/>
        <w:rPr>
          <w:sz w:val="44"/>
          <w:szCs w:val="44"/>
        </w:rPr>
      </w:pPr>
      <w:r>
        <w:rPr>
          <w:sz w:val="44"/>
          <w:szCs w:val="44"/>
        </w:rPr>
        <w:t xml:space="preserve">Lead Through People</w:t>
      </w:r>
    </w:p>
    <w:p>
      <w:pPr>
        <w:pStyle w:val="JWFieldHint"/>
      </w:pPr>
      <w:r>
        <w:t xml:space="preserve">Ask to find out, not to persuade.</w:t>
      </w:r>
    </w:p>
    <w:p>
      <w:pPr>
        <w:pStyle w:val="Heading2"/>
      </w:pPr>
      <w:r>
        <w:t xml:space="preserve">The conversation</w:t>
      </w:r>
    </w:p>
    <w:p>
      <w:pPr>
        <w:pStyle w:val="JWBody"/>
      </w:pPr>
      <w:r>
        <w:t xml:space="preserve">One conversation where you already know what you would do. You may not offer your answer until they have offered theirs.</w:t>
      </w:r>
    </w:p>
    <w:p>
      <w:pPr>
        <w:pStyle w:val="JWFieldLabel"/>
        <w:keepNext/>
        <w:spacing w:before="200" w:after="60"/>
      </w:pPr>
      <w:r>
        <w:t xml:space="preserve">WHAT I LEARNED THAT I DID NOT KNOW GOING IN</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MOMENT I MOST WANTED TO TAKE OVER</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THEY LEFT WITH THAT THEY OWN</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DID THEY LEAVE CLEARER, OR MORE DEPENDENT ON ME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4"/>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PART THREE  ·  PRACTICE 9</w:t>
      </w:r>
    </w:p>
    <w:p>
      <w:pPr>
        <w:pStyle w:val="Heading1"/>
        <w:rPr>
          <w:sz w:val="44"/>
          <w:szCs w:val="44"/>
        </w:rPr>
      </w:pPr>
      <w:r>
        <w:rPr>
          <w:sz w:val="44"/>
          <w:szCs w:val="44"/>
        </w:rPr>
        <w:t xml:space="preserve">Build Trust, Standards &amp; Accountability</w:t>
      </w:r>
    </w:p>
    <w:p>
      <w:pPr>
        <w:pStyle w:val="JWFieldHint"/>
      </w:pPr>
      <w:r>
        <w:t xml:space="preserve">Expectations that can be kept.</w:t>
      </w:r>
    </w:p>
    <w:p>
      <w:pPr>
        <w:pStyle w:val="JWFieldLabel"/>
        <w:keepNext/>
        <w:spacing w:before="200" w:after="60"/>
      </w:pPr>
      <w:r>
        <w:t xml:space="preserve">THE EXPECTATION, IN ONE SENTENCE SOMEONE COULD ACTUALLY MEET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WHO NEEDS TO HEAR IT</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HAVE BEEN TOLERATING THAT CONTRADICTS IT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Situation, Behavior, Impact</w:t>
      </w:r>
    </w:p>
    <w:p>
      <w:pPr>
        <w:pStyle w:val="JWFieldLabel"/>
        <w:keepNext/>
        <w:spacing w:before="200" w:after="60"/>
      </w:pPr>
      <w:r>
        <w:t xml:space="preserve">SITUATION</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BEHAVIOR</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IMPACT</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WILL DO THE NEXT TIME IT IS NOT MET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5"/>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THE LINE</w:t>
      </w:r>
    </w:p>
    <w:p>
      <w:pPr>
        <w:pStyle w:val="Heading1"/>
        <w:rPr>
          <w:sz w:val="44"/>
          <w:szCs w:val="44"/>
        </w:rPr>
      </w:pPr>
      <w:r>
        <w:rPr>
          <w:sz w:val="44"/>
          <w:szCs w:val="44"/>
        </w:rPr>
        <w:t xml:space="preserve">Know your lines.</w:t>
      </w:r>
    </w:p>
    <w:p>
      <w:pPr>
        <w:pStyle w:val="JWBody"/>
      </w:pPr>
      <w:r>
        <w:t xml:space="preserve">The standards you will not trade for a result, written down before the pressure arrives.</w:t>
      </w:r>
    </w:p>
    <w:p>
      <w:pPr>
        <w:pStyle w:val="JWFieldLabel"/>
        <w:keepNext/>
        <w:spacing w:before="200" w:after="60"/>
      </w:pPr>
      <w:r>
        <w:t xml:space="preserve">MY LINES</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WHERE MINE GET TESTED</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6"/>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PART THREE  ·  PRACTICE 10</w:t>
      </w:r>
    </w:p>
    <w:p>
      <w:pPr>
        <w:pStyle w:val="Heading1"/>
        <w:rPr>
          <w:sz w:val="44"/>
          <w:szCs w:val="44"/>
        </w:rPr>
      </w:pPr>
      <w:r>
        <w:rPr>
          <w:sz w:val="44"/>
          <w:szCs w:val="44"/>
        </w:rPr>
        <w:t xml:space="preserve">Build Capacity Around You</w:t>
      </w:r>
    </w:p>
    <w:p>
      <w:pPr>
        <w:pStyle w:val="JWFieldHint"/>
      </w:pPr>
      <w:r>
        <w:t xml:space="preserve">Leave them stronger.</w:t>
      </w:r>
    </w:p>
    <w:p>
      <w:pPr>
        <w:pStyle w:val="Heading2"/>
      </w:pPr>
      <w:r>
        <w:t xml:space="preserve">What I transferred</w:t>
      </w:r>
    </w:p>
    <w:p>
      <w:pPr>
        <w:pStyle w:val="JWFieldLabel"/>
        <w:keepNext/>
        <w:spacing w:before="200" w:after="60"/>
      </w:pPr>
      <w:r>
        <w:t xml:space="preserve">THE DECISION OR CAPABILITY THAT USED TO ROUTE THROUGH ME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I HAD TO TEACH BEFORE OWNERSHIP COULD MOVE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THEY NOW DECIDE WITHOUT ME</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CHANGED IN THEIR BEHAVIOR BECAUSE OF IT</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Heading2"/>
      </w:pPr>
      <w:r>
        <w:t xml:space="preserve">Rewrite your definition</w:t>
      </w:r>
    </w:p>
    <w:p>
      <w:pPr>
        <w:pStyle w:val="JWBody"/>
      </w:pPr>
      <w:r>
        <w:t xml:space="preserve">Go back to the working definition you wrote in Practice 1. Write it again, now.</w:t>
      </w:r>
    </w:p>
    <w:p>
      <w:pPr>
        <w:pStyle w:val="JWFieldLabel"/>
        <w:keepNext/>
        <w:spacing w:before="200" w:after="60"/>
      </w:pPr>
      <w:r>
        <w:t xml:space="preserve">MY DEFINITION OF LEADERSHIP, REWRITTEN</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CHANGED — OR WHAT HELD, AND WHY</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7"/>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CHECKPOINT 3</w:t>
      </w:r>
    </w:p>
    <w:p>
      <w:pPr>
        <w:pStyle w:val="Heading1"/>
        <w:rPr>
          <w:sz w:val="44"/>
          <w:szCs w:val="44"/>
        </w:rPr>
      </w:pPr>
      <w:r>
        <w:rPr>
          <w:sz w:val="44"/>
          <w:szCs w:val="44"/>
        </w:rPr>
        <w:t xml:space="preserve">The last report.</w:t>
      </w:r>
    </w:p>
    <w:p>
      <w:pPr>
        <w:pStyle w:val="JWBody"/>
      </w:pPr>
      <w:r>
        <w:t xml:space="preserve">You are not asking whether you are on track. You are asking what changed in you, and whether anyone else can see it.</w:t>
      </w:r>
    </w:p>
    <w:p>
      <w:pPr>
        <w:pStyle w:val="JWFieldLabel"/>
        <w:keepNext/>
        <w:spacing w:before="200" w:after="60"/>
      </w:pPr>
      <w:r>
        <w:t xml:space="preserve">WHERE THE RESPONSIBILITY ACTUALLY ENDED UP</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ONE PERSON WHO IS MORE CAPABLE BECAUSE OF HOW I OPERATED</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WHAT THEY SAID IS DIFFERENT ABOUT HOW I OPERATE — AND THE EVIDENCE THEY USED</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8"/>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NOTES</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pBdr>
          <w:bottom w:val="single" w:sz="4" w:space="1" w:color="C9BBA8"/>
          <w:between w:val="single" w:sz="4" w:space="1" w:color="C9BBA8"/>
        </w:pBdr>
        <w:spacing w:before="140" w:after="0" w:line="400" w:lineRule="exact"/>
      </w:pPr>
      <w:r>
        <w:rPr>
          <w:sz w:val="20"/>
          <w:szCs w:val="20"/>
        </w:rPr>
        <w:t xml:space="preserve"> </w:t>
      </w:r>
    </w:p>
    <w:p>
      <w:pPr>
        <w:sectPr>
          <w:headerReference w:type="default" r:id="rId29"/>
          <w:footerReference w:type="default" r:id="rId10"/>
          <w:pgSz w:w="12240" w:h="15840"/>
          <w:pgMar w:top="720" w:right="288" w:bottom="640" w:left="288" w:header="360" w:footer="360" w:gutter="0"/>
          <w:cols w:space="720"/>
          <w:docGrid w:linePitch="360"/>
        </w:sectPr>
      </w:pPr>
    </w:p>
    <w:p>
      <w:pPr>
        <w:pBdr>
          <w:bottom w:val="single" w:sz="8" w:space="6" w:color="A56A32"/>
        </w:pBdr>
        <w:spacing w:after="80"/>
      </w:pPr>
      <w:r>
        <w:rPr>
          <w:rFonts w:ascii="Inter" w:eastAsia="Inter" w:hAnsi="Inter" w:cs="Inter"/>
          <w:b/>
          <w:bCs/>
          <w:color w:val="A56A32"/>
          <w:spacing w:val="48"/>
          <w:sz w:val="20"/>
          <w:szCs w:val="20"/>
        </w:rPr>
        <w:t xml:space="preserve">BASELINE</w:t>
      </w:r>
    </w:p>
    <w:p>
      <w:pPr>
        <w:pStyle w:val="Heading1"/>
        <w:rPr>
          <w:sz w:val="44"/>
          <w:szCs w:val="44"/>
        </w:rPr>
      </w:pPr>
      <w:r>
        <w:rPr>
          <w:sz w:val="44"/>
          <w:szCs w:val="44"/>
        </w:rPr>
        <w:t xml:space="preserve">Score yourself again.</w:t>
      </w:r>
    </w:p>
    <w:p>
      <w:pPr>
        <w:pStyle w:val="JWBody"/>
      </w:pPr>
      <w:r>
        <w:t xml:space="preserve">Score the same nine items without looking at your first answers. Then put them side by side. Ask the person holding you accountable to score you on the same nine — where their number is lower than yours is the most useful information in this program.</w:t>
      </w:r>
    </w:p>
    <w:tbl>
      <w:tblPr>
        <w:tblW w:w="11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
        <w:gridCol w:w="2520"/>
        <w:gridCol w:w="6582"/>
        <w:gridCol w:w="1634"/>
      </w:tblGrid>
      <w:tr>
        <w:trPr>
          <w:cantSplit/>
          <w:trHeight w:val="164"/>
          <w:tblHeader/>
        </w:trPr>
        <w:tc>
          <w:tcPr>
            <w:tcW w:w="933"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w:t>
            </w:r>
          </w:p>
        </w:tc>
        <w:tc>
          <w:tcPr>
            <w:tcW w:w="2520"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Test</w:t>
            </w:r>
          </w:p>
        </w:tc>
        <w:tc>
          <w:tcPr>
            <w:tcW w:w="6582"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The question</w:t>
            </w:r>
          </w:p>
        </w:tc>
        <w:tc>
          <w:tcPr>
            <w:tcW w:w="1634" w:type="dxa"/>
            <w:tcBorders>
              <w:top w:val="none" w:sz="0" w:space="0" w:color="FFFFFF"/>
              <w:left w:val="none" w:sz="0" w:space="0" w:color="FFFFFF"/>
              <w:bottom w:val="none" w:sz="0" w:space="0" w:color="FFFFFF"/>
              <w:right w:val="none" w:sz="0" w:space="0" w:color="FFFFFF"/>
            </w:tcBorders>
            <w:shd w:val="clear" w:color="auto" w:fill="1B2833"/>
            <w:tcMar>
              <w:top w:w="70" w:type="dxa"/>
              <w:left w:w="80" w:type="dxa"/>
              <w:bottom w:w="70" w:type="dxa"/>
              <w:right w:w="80" w:type="dxa"/>
            </w:tcMar>
          </w:tcPr>
          <w:p>
            <w:pPr>
              <w:keepNext/>
            </w:pPr>
            <w:r>
              <w:rPr>
                <w:rFonts w:ascii="Inter" w:eastAsia="Inter" w:hAnsi="Inter" w:cs="Inter"/>
                <w:b/>
                <w:bCs/>
                <w:color w:val="FFFFFF"/>
                <w:spacing w:val="40"/>
                <w:sz w:val="14"/>
                <w:szCs w:val="14"/>
              </w:rPr>
              <w:t xml:space="preserve">Score 1–5</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1</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Reality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see what is actually happening, not what protects my ego.</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2</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Responsibility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own what is mine without trying to own everything.</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3</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Judgment</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separate facts, assumptions, and tradeoffs before I act.</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4</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Direction</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People around me understand where we are going and what success looks like.</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5</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Movement</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Something that matters is actually moving.</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6</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Ownership</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People are thinking and acting, not waiting for me.</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7</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Trust &amp; Standards</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My behavior, expectations, and accountability tell the same story.</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8</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Integrity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I pursue the result in a way I am willing to defend.</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r>
        <w:trPr>
          <w:cantSplit/>
          <w:trHeight w:val="440"/>
        </w:trPr>
        <w:tc>
          <w:tcPr>
            <w:tcW w:w="933"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rFonts w:ascii="Inter" w:eastAsia="Inter" w:hAnsi="Inter" w:cs="Inter"/>
                <w:b/>
                <w:bCs/>
                <w:color w:val="A56A32"/>
                <w:sz w:val="20"/>
                <w:szCs w:val="20"/>
              </w:rPr>
              <w:t xml:space="preserve">9</w:t>
            </w:r>
          </w:p>
        </w:tc>
        <w:tc>
          <w:tcPr>
            <w:tcW w:w="2520"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EdgeLabel"/>
              <w:keepNext/>
            </w:pPr>
            <w:r>
              <w:t xml:space="preserve">Capacity</w:t>
            </w:r>
          </w:p>
        </w:tc>
        <w:tc>
          <w:tcPr>
            <w:tcW w:w="6582"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pStyle w:val="JWTableText"/>
              <w:keepNext/>
            </w:pPr>
            <w:r>
              <w:t xml:space="preserve">My involvement is making other people stronger and more capable.</w:t>
            </w:r>
          </w:p>
        </w:tc>
        <w:tc>
          <w:tcPr>
            <w:tcW w:w="1634" w:type="dxa"/>
            <w:tcBorders>
              <w:top w:val="single" w:sz="4" w:space="0" w:color="C9BBA8"/>
              <w:left w:val="single" w:sz="4" w:space="0" w:color="C9BBA8"/>
              <w:bottom w:val="single" w:sz="4" w:space="0" w:color="C9BBA8"/>
              <w:right w:val="single" w:sz="4" w:space="0" w:color="C9BBA8"/>
            </w:tcBorders>
            <w:shd w:val="clear" w:color="auto" w:fill="FFFCF8"/>
            <w:tcMar>
              <w:top w:w="80" w:type="dxa"/>
              <w:left w:w="120" w:type="dxa"/>
              <w:bottom w:w="80" w:type="dxa"/>
              <w:right w:w="120" w:type="dxa"/>
            </w:tcMar>
          </w:tcPr>
          <w:p>
            <w:pPr>
              <w:keepNext/>
              <w:jc w:val="center"/>
            </w:pPr>
            <w:r>
              <w:rPr>
                <w:sz w:val="18"/>
                <w:szCs w:val="18"/>
              </w:rPr>
              <w:t xml:space="preserve"> </w:t>
            </w:r>
          </w:p>
        </w:tc>
      </w:tr>
    </w:tbl>
    <w:p>
      <w:pPr>
        <w:pStyle w:val="JWFieldLabel"/>
        <w:keepNext/>
        <w:spacing w:before="200" w:after="60"/>
      </w:pPr>
      <w:r>
        <w:t xml:space="preserve">WHERE THE NUMBER MOVED — AND THE EVIDENCE BEHIND IT</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WHERE IT DID NOT MOVE — AND WHETHER I ACTUALLY RAN THE PRACTICE</w:t>
      </w:r>
    </w:p>
    <w:p>
      <w:pPr>
        <w:keepNext/>
        <w:keepLines/>
        <w:pBdr>
          <w:bottom w:val="single" w:sz="4" w:space="1" w:color="C9BBA8"/>
          <w:between w:val="single" w:sz="4" w:space="1" w:color="C9BBA8"/>
        </w:pBdr>
        <w:spacing w:before="140" w:after="0" w:line="400" w:lineRule="exact"/>
      </w:pPr>
      <w:r>
        <w:rPr>
          <w:sz w:val="20"/>
          <w:szCs w:val="20"/>
        </w:rPr>
        <w:t xml:space="preserve"> </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pStyle w:val="JWFieldLabel"/>
        <w:keepNext/>
        <w:spacing w:before="200" w:after="60"/>
      </w:pPr>
      <w:r>
        <w:t xml:space="preserve">THE ONE ITEM THAT WOULD CHANGE THE MOST OVER THE NEXT YEAR</w:t>
      </w:r>
    </w:p>
    <w:p>
      <w:pPr>
        <w:keepNext/>
        <w:keepLines/>
        <w:pBdr>
          <w:bottom w:val="single" w:sz="4" w:space="1" w:color="C9BBA8"/>
          <w:between w:val="single" w:sz="4" w:space="1" w:color="C9BBA8"/>
        </w:pBdr>
        <w:spacing w:before="140" w:after="0" w:line="400" w:lineRule="exact"/>
      </w:pPr>
      <w:r>
        <w:rPr>
          <w:sz w:val="20"/>
          <w:szCs w:val="20"/>
        </w:rPr>
        <w:t xml:space="preserve"> </w:t>
      </w:r>
    </w:p>
    <w:p>
      <w:pPr>
        <w:keepLines/>
        <w:pBdr>
          <w:bottom w:val="single" w:sz="4" w:space="1" w:color="C9BBA8"/>
          <w:between w:val="single" w:sz="4" w:space="1" w:color="C9BBA8"/>
        </w:pBdr>
        <w:spacing w:before="140" w:after="0" w:line="400" w:lineRule="exact"/>
      </w:pPr>
      <w:r>
        <w:rPr>
          <w:sz w:val="20"/>
          <w:szCs w:val="20"/>
        </w:rPr>
        <w:t xml:space="preserve"> </w:t>
      </w:r>
    </w:p>
    <w:p>
      <w:pPr>
        <w:spacing w:before="240"/>
      </w:pPr>
      <w:r>
        <w:rPr>
          <w:i/>
          <w:iCs/>
          <w:color w:val="5C534C"/>
          <w:sz w:val="21"/>
          <w:szCs w:val="21"/>
        </w:rPr>
        <w:t xml:space="preserve">A number that moved without evidence behind it is not improvement. It is familiarity with the vocabulary.</w:t>
      </w:r>
    </w:p>
    <w:sectPr>
      <w:headerReference w:type="default" r:id="rId30"/>
      <w:footerReference w:type="default" r:id="rId10"/>
      <w:pgSz w:w="12240" w:h="15840"/>
      <w:pgMar w:top="720" w:right="288" w:bottom="640" w:left="288"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AE776" w14:textId="77777777" w:rsidR="00287602" w:rsidRDefault="00287602">
      <w:r>
        <w:separator/>
      </w:r>
    </w:p>
  </w:endnote>
  <w:endnote w:type="continuationSeparator" w:id="0">
    <w:p w14:paraId="4FC05C1E" w14:textId="77777777" w:rsidR="00287602" w:rsidRDefault="00287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terata">
    <w:altName w:val="Cambria"/>
    <w:panose1 w:val="00000000000000000000"/>
    <w:charset w:val="00"/>
    <w:family w:val="roman"/>
    <w:notTrueType/>
    <w:pitch w:val="default"/>
  </w:font>
  <w:font w:name="Inter">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top w:val="single" w:sz="6" w:space="6" w:color="A56A32"/>
      </w:pBdr>
      <w:tabs>
        <w:tab w:val="right" w:pos="12240"/>
      </w:tabs>
      <w:spacing w:before="60"/>
    </w:pPr>
    <w:r>
      <w:rPr>
        <w:rFonts w:ascii="Inter" w:eastAsia="Inter" w:hAnsi="Inter" w:cs="Inter"/>
        <w:color w:val="5C534C"/>
        <w:spacing w:val="40"/>
        <w:sz w:val="14"/>
        <w:szCs w:val="14"/>
      </w:rPr>
      <w:t xml:space="preserve">J.W. WALKER</w:t>
    </w:r>
    <w:r>
      <w:rPr>
        <w:rFonts w:ascii="Inter" w:eastAsia="Inter" w:hAnsi="Inter" w:cs="Inter"/>
        <w:sz w:val="14"/>
        <w:szCs w:val="14"/>
      </w:rPr>
      <w:tab/>
    </w:r>
    <w:r>
      <w:rPr>
        <w:rFonts w:ascii="Inter" w:eastAsia="Inter" w:hAnsi="Inter" w:cs="Inter"/>
        <w:color w:val="5C534C"/>
        <w:sz w:val="14"/>
        <w:szCs w:val="14"/>
      </w:rPr>
      <w:t xml:space="preserve">jeremywalker.us   ·   </w:t>
    </w:r>
    <w:r>
      <w:rPr>
        <w:rFonts w:ascii="Inter" w:eastAsia="Inter" w:hAnsi="Inter" w:cs="Inter"/>
        <w:color w:val="5C534C"/>
        <w:sz w:val="14"/>
        <w:szCs w:val="14"/>
      </w:rPr>
      <w:fldChar w:fldCharType="begin"/>
    </w:r>
    <w:r>
      <w:rPr>
        <w:rFonts w:ascii="Inter" w:eastAsia="Inter" w:hAnsi="Inter" w:cs="Inter"/>
        <w:color w:val="5C534C"/>
        <w:sz w:val="14"/>
        <w:szCs w:val="14"/>
      </w:rPr>
      <w:instrText>PAGE</w:instrText>
    </w:r>
    <w:r>
      <w:rPr>
        <w:rFonts w:ascii="Inter" w:eastAsia="Inter" w:hAnsi="Inter" w:cs="Inter"/>
        <w:color w:val="5C534C"/>
        <w:sz w:val="14"/>
        <w:szCs w:val="14"/>
      </w:rPr>
      <w:fldChar w:fldCharType="separate"/>
    </w:r>
    <w:r>
      <w:rPr>
        <w:rFonts w:ascii="Inter" w:eastAsia="Inter" w:hAnsi="Inter" w:cs="Inter"/>
        <w:noProof/>
        <w:color w:val="5C534C"/>
        <w:sz w:val="14"/>
        <w:szCs w:val="14"/>
      </w:rPr>
      <w:t>2</w:t>
    </w:r>
    <w:r>
      <w:rPr>
        <w:rFonts w:ascii="Inter" w:eastAsia="Inter" w:hAnsi="Inter" w:cs="Inter"/>
        <w:color w:val="5C534C"/>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B768F" w14:textId="77777777" w:rsidR="00287602" w:rsidRDefault="00287602">
      <w:r>
        <w:separator/>
      </w:r>
    </w:p>
  </w:footnote>
  <w:footnote w:type="continuationSeparator" w:id="0">
    <w:p w14:paraId="5A1C438B" w14:textId="77777777" w:rsidR="00287602" w:rsidRDefault="00287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Workbook  ·  How to use</w:t>
    </w:r>
    <w:r>
      <w:rPr>
        <w:rFonts w:ascii="Inter" w:eastAsia="Inter" w:hAnsi="Inter" w:cs="Inter"/>
        <w:sz w:val="15"/>
        <w:szCs w:val="15"/>
      </w:rPr>
      <w:tab/>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Workbook  ·  Baseline</w:t>
    </w:r>
    <w:r>
      <w:rPr>
        <w:rFonts w:ascii="Inter" w:eastAsia="Inter" w:hAnsi="Inter" w:cs="Inter"/>
        <w:sz w:val="15"/>
        <w:szCs w:val="15"/>
      </w:rPr>
      <w:tab/>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One  ·  Practice 1</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One  ·  Practice 2</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One  ·  Practice 3</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Workbook  ·  Checkpoint 1</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One  ·  Notes</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Two  ·  Practice 4</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Two  ·  Practice 5</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Two  ·  Practice 6</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Two  ·  Practice 7</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Workbook  ·  Checkpoint 2</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Two  ·  Notes</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Three  ·  Practice 8</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Three  ·  Practice 9</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Three  ·  The Line</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C9BBA8"/>
        <w:sz w:val="12"/>
        <w:szCs w:val="12"/>
      </w:rPr>
      <w:t xml:space="preserv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Three  ·  Practice 10</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Workbook  ·  Checkpoint 3</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Part Three  ·  Notes</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Bdr>
        <w:bottom w:val="single" w:sz="8" w:space="6" w:color="A56A32"/>
      </w:pBdr>
      <w:tabs>
        <w:tab w:val="right" w:pos="12240"/>
      </w:tabs>
    </w:pPr>
    <w:r>
      <w:rPr>
        <w:rFonts w:ascii="Inter" w:eastAsia="Inter" w:hAnsi="Inter" w:cs="Inter"/>
        <w:b/>
        <w:bCs/>
        <w:color w:val="5C534C"/>
        <w:spacing w:val="36"/>
        <w:sz w:val="15"/>
        <w:szCs w:val="15"/>
      </w:rPr>
      <w:t xml:space="preserve">Module I  ·  Workbook  ·  Re-score</w:t>
    </w:r>
    <w:r>
      <w:rPr>
        <w:rFonts w:ascii="Inter" w:eastAsia="Inter" w:hAnsi="Inter" w:cs="Inter"/>
        <w:sz w:val="15"/>
        <w:szCs w:val="15"/>
      </w:rPr>
      <w:tab/>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r>
      <w:rPr>
        <w:rFonts w:ascii="Inter" w:eastAsia="Inter" w:hAnsi="Inter" w:cs="Inter"/>
        <w:sz w:val="10"/>
        <w:szCs w:val="10"/>
      </w:rPr>
      <w:t xml:space="preserve"> </w:t>
    </w:r>
    <w:r>
      <w:rPr>
        <w:rFonts w:ascii="Inter" w:eastAsia="Inter" w:hAnsi="Inter" w:cs="Inter"/>
        <w:color w:val="A56A32"/>
        <w:sz w:val="12"/>
        <w:szCs w:val="12"/>
      </w:rPr>
      <w:t xml:space="preser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2145F"/>
    <w:multiLevelType w:val="hybridMultilevel"/>
    <w:tmpl w:val="49F8317E"/>
    <w:lvl w:ilvl="0" w:tplc="05283116">
      <w:start w:val="1"/>
      <w:numFmt w:val="bullet"/>
      <w:lvlText w:val="•"/>
      <w:lvlJc w:val="left"/>
      <w:pPr>
        <w:ind w:left="600" w:hanging="240"/>
      </w:pPr>
    </w:lvl>
    <w:lvl w:ilvl="1" w:tplc="5E427C5A">
      <w:numFmt w:val="decimal"/>
      <w:lvlText w:val=""/>
      <w:lvlJc w:val="left"/>
    </w:lvl>
    <w:lvl w:ilvl="2" w:tplc="23ACC038">
      <w:numFmt w:val="decimal"/>
      <w:lvlText w:val=""/>
      <w:lvlJc w:val="left"/>
    </w:lvl>
    <w:lvl w:ilvl="3" w:tplc="BC6AB8F4">
      <w:numFmt w:val="decimal"/>
      <w:lvlText w:val=""/>
      <w:lvlJc w:val="left"/>
    </w:lvl>
    <w:lvl w:ilvl="4" w:tplc="109A46A0">
      <w:numFmt w:val="decimal"/>
      <w:lvlText w:val=""/>
      <w:lvlJc w:val="left"/>
    </w:lvl>
    <w:lvl w:ilvl="5" w:tplc="C11272F0">
      <w:numFmt w:val="decimal"/>
      <w:lvlText w:val=""/>
      <w:lvlJc w:val="left"/>
    </w:lvl>
    <w:lvl w:ilvl="6" w:tplc="BAF6F304">
      <w:numFmt w:val="decimal"/>
      <w:lvlText w:val=""/>
      <w:lvlJc w:val="left"/>
    </w:lvl>
    <w:lvl w:ilvl="7" w:tplc="6140703A">
      <w:numFmt w:val="decimal"/>
      <w:lvlText w:val=""/>
      <w:lvlJc w:val="left"/>
    </w:lvl>
    <w:lvl w:ilvl="8" w:tplc="D6DA0EA4">
      <w:numFmt w:val="decimal"/>
      <w:lvlText w:val=""/>
      <w:lvlJc w:val="left"/>
    </w:lvl>
  </w:abstractNum>
  <w:abstractNum w:abstractNumId="1" w15:restartNumberingAfterBreak="0">
    <w:nsid w:val="652F7AAE"/>
    <w:multiLevelType w:val="hybridMultilevel"/>
    <w:tmpl w:val="3A24D954"/>
    <w:lvl w:ilvl="0" w:tplc="2AEAD00C">
      <w:start w:val="1"/>
      <w:numFmt w:val="bullet"/>
      <w:lvlText w:val="●"/>
      <w:lvlJc w:val="left"/>
      <w:pPr>
        <w:ind w:left="720" w:hanging="360"/>
      </w:pPr>
    </w:lvl>
    <w:lvl w:ilvl="1" w:tplc="DF3EEB0A">
      <w:start w:val="1"/>
      <w:numFmt w:val="bullet"/>
      <w:lvlText w:val="○"/>
      <w:lvlJc w:val="left"/>
      <w:pPr>
        <w:ind w:left="1440" w:hanging="360"/>
      </w:pPr>
    </w:lvl>
    <w:lvl w:ilvl="2" w:tplc="7ABA934C">
      <w:start w:val="1"/>
      <w:numFmt w:val="bullet"/>
      <w:lvlText w:val="■"/>
      <w:lvlJc w:val="left"/>
      <w:pPr>
        <w:ind w:left="2160" w:hanging="360"/>
      </w:pPr>
    </w:lvl>
    <w:lvl w:ilvl="3" w:tplc="74C41C98">
      <w:start w:val="1"/>
      <w:numFmt w:val="bullet"/>
      <w:lvlText w:val="●"/>
      <w:lvlJc w:val="left"/>
      <w:pPr>
        <w:ind w:left="2880" w:hanging="360"/>
      </w:pPr>
    </w:lvl>
    <w:lvl w:ilvl="4" w:tplc="56E04B90">
      <w:start w:val="1"/>
      <w:numFmt w:val="bullet"/>
      <w:lvlText w:val="○"/>
      <w:lvlJc w:val="left"/>
      <w:pPr>
        <w:ind w:left="3600" w:hanging="360"/>
      </w:pPr>
    </w:lvl>
    <w:lvl w:ilvl="5" w:tplc="26C253DA">
      <w:start w:val="1"/>
      <w:numFmt w:val="bullet"/>
      <w:lvlText w:val="■"/>
      <w:lvlJc w:val="left"/>
      <w:pPr>
        <w:ind w:left="4320" w:hanging="360"/>
      </w:pPr>
    </w:lvl>
    <w:lvl w:ilvl="6" w:tplc="4372DFF4">
      <w:start w:val="1"/>
      <w:numFmt w:val="bullet"/>
      <w:lvlText w:val="●"/>
      <w:lvlJc w:val="left"/>
      <w:pPr>
        <w:ind w:left="5040" w:hanging="360"/>
      </w:pPr>
    </w:lvl>
    <w:lvl w:ilvl="7" w:tplc="574C5756">
      <w:start w:val="1"/>
      <w:numFmt w:val="bullet"/>
      <w:lvlText w:val="●"/>
      <w:lvlJc w:val="left"/>
      <w:pPr>
        <w:ind w:left="5760" w:hanging="360"/>
      </w:pPr>
    </w:lvl>
    <w:lvl w:ilvl="8" w:tplc="D3028E74">
      <w:start w:val="1"/>
      <w:numFmt w:val="bullet"/>
      <w:lvlText w:val="●"/>
      <w:lvlJc w:val="left"/>
      <w:pPr>
        <w:ind w:left="6480" w:hanging="360"/>
      </w:pPr>
    </w:lvl>
  </w:abstractNum>
  <w:num w:numId="1" w16cid:durableId="267390671">
    <w:abstractNumId w:val="1"/>
    <w:lvlOverride w:ilvl="0">
      <w:startOverride w:val="1"/>
    </w:lvlOverride>
  </w:num>
  <w:num w:numId="2" w16cid:durableId="10725865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5F0"/>
    <w:rsid w:val="001F377D"/>
    <w:rsid w:val="00287602"/>
    <w:rsid w:val="002C55F0"/>
    <w:rsid w:val="00376832"/>
    <w:rsid w:val="006570B4"/>
    <w:rsid w:val="006A0F95"/>
    <w:rsid w:val="00801F15"/>
    <w:rsid w:val="008F5C18"/>
    <w:rsid w:val="009067AC"/>
    <w:rsid w:val="00996028"/>
    <w:rsid w:val="00A4483C"/>
    <w:rsid w:val="00B364EF"/>
    <w:rsid w:val="00BF2EFA"/>
    <w:rsid w:val="00CD7BE5"/>
    <w:rsid w:val="00D54EFF"/>
    <w:rsid w:val="00D8614E"/>
    <w:rsid w:val="00DB53FC"/>
    <w:rsid w:val="00F05BC8"/>
    <w:rsid w:val="00F7497C"/>
    <w:rsid w:val="00FB4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70CFC"/>
  <w15:docId w15:val="{239AC95C-604D-491D-B6A5-0A19422D3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terata" w:eastAsia="Literata" w:hAnsi="Literata" w:cs="Literata"/>
        <w:color w:val="1C1917"/>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80" w:after="200" w:line="288" w:lineRule="auto"/>
      <w:outlineLvl w:val="0"/>
    </w:pPr>
    <w:rPr>
      <w:b/>
      <w:bCs/>
      <w:color w:val="1B2833"/>
      <w:sz w:val="48"/>
      <w:szCs w:val="48"/>
    </w:rPr>
  </w:style>
  <w:style w:type="paragraph" w:styleId="Heading2">
    <w:name w:val="heading 2"/>
    <w:uiPriority w:val="9"/>
    <w:unhideWhenUsed/>
    <w:qFormat/>
    <w:pPr>
      <w:keepNext/>
      <w:keepLines/>
      <w:spacing w:before="280" w:after="120"/>
      <w:outlineLvl w:val="1"/>
    </w:pPr>
    <w:rPr>
      <w:rFonts w:ascii="Inter" w:eastAsia="Inter" w:hAnsi="Inter" w:cs="Inter"/>
      <w:b/>
      <w:bCs/>
      <w:color w:val="1B2833"/>
    </w:rPr>
  </w:style>
  <w:style w:type="paragraph" w:styleId="Heading3">
    <w:name w:val="heading 3"/>
    <w:uiPriority w:val="9"/>
    <w:unhideWhenUsed/>
    <w:qFormat/>
    <w:pPr>
      <w:keepNext/>
      <w:keepLines/>
      <w:spacing w:before="200" w:after="80"/>
      <w:outlineLvl w:val="2"/>
    </w:pPr>
    <w:rPr>
      <w:rFonts w:ascii="Inter" w:eastAsia="Inter" w:hAnsi="Inter" w:cs="Inter"/>
      <w:b/>
      <w:bCs/>
      <w:color w:val="A56A32"/>
      <w:sz w:val="20"/>
      <w:szCs w:val="2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JWBody">
    <w:name w:val="JW Body"/>
    <w:basedOn w:val="Normal"/>
    <w:next w:val="JWBody"/>
    <w:qFormat/>
    <w:pPr>
      <w:spacing w:before="0" w:after="180" w:line="312" w:lineRule="auto"/>
    </w:pPr>
    <w:rPr>
      <w:rFonts w:ascii="Literata" w:eastAsia="Literata" w:hAnsi="Literata" w:cs="Literata"/>
      <w:sz w:val="22"/>
      <w:szCs w:val="22"/>
      <w:color w:val="1C1917"/>
    </w:rPr>
  </w:style>
  <w:style w:type="paragraph" w:customStyle="1" w:styleId="JWLeadIn">
    <w:name w:val="JW Lead-in"/>
    <w:basedOn w:val="Normal"/>
    <w:next w:val="JWBody"/>
    <w:qFormat/>
    <w:pPr>
      <w:keepNext/>
      <w:spacing w:before="0" w:after="60" w:line="312" w:lineRule="auto"/>
    </w:pPr>
    <w:rPr>
      <w:rFonts w:ascii="Literata" w:eastAsia="Literata" w:hAnsi="Literata" w:cs="Literata"/>
      <w:sz w:val="22"/>
      <w:szCs w:val="22"/>
      <w:color w:val="1C1917"/>
    </w:rPr>
  </w:style>
  <w:style w:type="paragraph" w:customStyle="1" w:styleId="JWBullet">
    <w:name w:val="JW Bullet"/>
    <w:basedOn w:val="Normal"/>
    <w:next w:val="JWBullet"/>
    <w:qFormat/>
    <w:pPr>
      <w:spacing w:before="0" w:after="60" w:line="276" w:lineRule="auto"/>
      <w:ind w:left="720" w:hanging="360"/>
    </w:pPr>
    <w:rPr>
      <w:rFonts w:ascii="Literata" w:eastAsia="Literata" w:hAnsi="Literata" w:cs="Literata"/>
      <w:sz w:val="22"/>
      <w:szCs w:val="22"/>
      <w:color w:val="1C1917"/>
    </w:rPr>
  </w:style>
  <w:style w:type="paragraph" w:customStyle="1" w:styleId="JWHoldLabel">
    <w:name w:val="JW Hold Label"/>
    <w:basedOn w:val="Normal"/>
    <w:next w:val="JWHoldLabel"/>
    <w:qFormat/>
    <w:pPr>
      <w:keepNext/>
      <w:pBdr>
        <w:top w:val="single" w:sz="8" w:space="8" w:color="6E2C23"/>
      </w:pBdr>
      <w:spacing w:before="200" w:after="40"/>
    </w:pPr>
    <w:rPr>
      <w:rFonts w:ascii="Inter" w:eastAsia="Inter" w:hAnsi="Inter" w:cs="Inter"/>
      <w:b/>
      <w:bCs/>
      <w:color w:val="6E2C23"/>
      <w:spacing w:val="40"/>
      <w:sz w:val="20"/>
      <w:szCs w:val="20"/>
    </w:rPr>
  </w:style>
  <w:style w:type="paragraph" w:customStyle="1" w:styleId="JWHoldText">
    <w:name w:val="JW Hold Text"/>
    <w:basedOn w:val="Normal"/>
    <w:next w:val="JWBody"/>
    <w:qFormat/>
    <w:pPr>
      <w:spacing w:before="0" w:after="200" w:line="260" w:lineRule="auto"/>
    </w:pPr>
    <w:rPr>
      <w:rFonts w:ascii="Literata" w:eastAsia="Literata" w:hAnsi="Literata" w:cs="Literata"/>
      <w:i/>
      <w:iCs/>
      <w:color w:val="6E2C23"/>
      <w:sz w:val="22"/>
      <w:szCs w:val="22"/>
    </w:rPr>
  </w:style>
  <w:style w:type="paragraph" w:customStyle="1" w:styleId="JWBoxLabel">
    <w:name w:val="JW Box Label"/>
    <w:basedOn w:val="Normal"/>
    <w:next w:val="JWBoxLabel"/>
    <w:qFormat/>
    <w:pPr>
      <w:keepNext/>
      <w:spacing w:before="0" w:after="40"/>
    </w:pPr>
    <w:rPr>
      <w:rFonts w:ascii="Inter" w:eastAsia="Inter" w:hAnsi="Inter" w:cs="Inter"/>
      <w:b/>
      <w:bCs/>
      <w:color w:val="A56A32"/>
      <w:spacing w:val="40"/>
      <w:sz w:val="20"/>
      <w:szCs w:val="20"/>
    </w:rPr>
  </w:style>
  <w:style w:type="paragraph" w:customStyle="1" w:styleId="JWEdgeLabel">
    <w:name w:val="JW Edge Label"/>
    <w:basedOn w:val="Normal"/>
    <w:next w:val="JWEdgeLabel"/>
    <w:qFormat/>
    <w:pPr>
      <w:keepNext/>
      <w:spacing w:before="0" w:after="40"/>
    </w:pPr>
    <w:rPr>
      <w:rFonts w:ascii="Inter" w:eastAsia="Inter" w:hAnsi="Inter" w:cs="Inter"/>
      <w:b/>
      <w:bCs/>
      <w:color w:val="1B2833"/>
      <w:spacing w:val="40"/>
      <w:sz w:val="20"/>
      <w:szCs w:val="20"/>
    </w:rPr>
  </w:style>
  <w:style w:type="paragraph" w:customStyle="1" w:styleId="JWBoxText">
    <w:name w:val="JW Box Text"/>
    <w:basedOn w:val="Normal"/>
    <w:next w:val="JWBody"/>
    <w:qFormat/>
    <w:pPr>
      <w:spacing w:before="0" w:after="0" w:line="260" w:lineRule="auto"/>
    </w:pPr>
    <w:rPr>
      <w:rFonts w:ascii="Literata" w:eastAsia="Literata" w:hAnsi="Literata" w:cs="Literata"/>
      <w:sz w:val="20"/>
      <w:szCs w:val="20"/>
      <w:color w:val="1C1917"/>
    </w:rPr>
  </w:style>
  <w:style w:type="paragraph" w:customStyle="1" w:styleId="JWTableText">
    <w:name w:val="JW Table Text"/>
    <w:basedOn w:val="Normal"/>
    <w:next w:val="JWTableText"/>
    <w:qFormat/>
    <w:pPr>
      <w:spacing w:before="0" w:after="0"/>
    </w:pPr>
    <w:rPr>
      <w:rFonts w:ascii="Literata" w:eastAsia="Literata" w:hAnsi="Literata" w:cs="Literata"/>
      <w:sz w:val="20"/>
      <w:szCs w:val="20"/>
      <w:color w:val="1C1917"/>
    </w:rPr>
  </w:style>
  <w:style w:type="paragraph" w:customStyle="1" w:styleId="JWFieldLabel">
    <w:name w:val="JW Field Label"/>
    <w:basedOn w:val="Normal"/>
    <w:next w:val="JWFieldLabel"/>
    <w:qFormat/>
    <w:pPr>
      <w:keepNext/>
      <w:spacing w:before="0" w:after="60"/>
    </w:pPr>
    <w:rPr>
      <w:rFonts w:ascii="Inter" w:eastAsia="Inter" w:hAnsi="Inter" w:cs="Inter"/>
      <w:b/>
      <w:bCs/>
      <w:color w:val="A56A32"/>
      <w:spacing w:val="40"/>
      <w:sz w:val="16"/>
      <w:szCs w:val="16"/>
    </w:rPr>
  </w:style>
  <w:style w:type="paragraph" w:customStyle="1" w:styleId="JWFieldHint">
    <w:name w:val="JW Field Hint"/>
    <w:basedOn w:val="Normal"/>
    <w:next w:val="JWFieldHint"/>
    <w:qFormat/>
    <w:pPr>
      <w:spacing w:before="0" w:after="80"/>
    </w:pPr>
    <w:rPr>
      <w:rFonts w:ascii="Literata" w:eastAsia="Literata" w:hAnsi="Literata" w:cs="Literata"/>
      <w:i/>
      <w:iCs/>
      <w:color w:val="5C534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ustomXml" Target="../customXml/item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header" Target="header7.xml"/><Relationship Id="rId18" Type="http://schemas.openxmlformats.org/officeDocument/2006/relationships/header" Target="header8.xml"/><Relationship Id="rId19" Type="http://schemas.openxmlformats.org/officeDocument/2006/relationships/header" Target="head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header" Target="header12.xml"/><Relationship Id="rId23" Type="http://schemas.openxmlformats.org/officeDocument/2006/relationships/header" Target="header13.xml"/><Relationship Id="rId24" Type="http://schemas.openxmlformats.org/officeDocument/2006/relationships/header" Target="header14.xml"/><Relationship Id="rId25" Type="http://schemas.openxmlformats.org/officeDocument/2006/relationships/header" Target="header15.xml"/><Relationship Id="rId26" Type="http://schemas.openxmlformats.org/officeDocument/2006/relationships/header" Target="header16.xml"/><Relationship Id="rId27" Type="http://schemas.openxmlformats.org/officeDocument/2006/relationships/header" Target="header17.xml"/><Relationship Id="rId28" Type="http://schemas.openxmlformats.org/officeDocument/2006/relationships/header" Target="header18.xml"/><Relationship Id="rId29" Type="http://schemas.openxmlformats.org/officeDocument/2006/relationships/header" Target="header19.xml"/><Relationship Id="rId30"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1E4A0-CCD5-4CDE-B0A0-C4128EF4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20</Pages>
  <Words>4300</Words>
  <Characters>24512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The Emerging Leader Development Guide — Module I, Part One</vt:lpstr>
    </vt:vector>
  </TitlesOfParts>
  <Company/>
  <LinksUpToDate>false</LinksUpToDate>
  <CharactersWithSpaces>28755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Emerging Leader Development Workbook — Module I</dc:title>
  <dc:subject>Emerging Leader Development Series</dc:subject>
  <dc:creator>J.W. Walker</dc:creator>
  <cp:keywords>leadership, practicum, emerging leader, operator's edge</cp:keywords>
  <dc:description>Part One of three: setup, baseline, Practices 1–3, and the first evidence gate.</dc:description>
  <cp:lastModifiedBy>Jeremy Walker</cp:lastModifiedBy>
  <cp:revision>18</cp:revision>
  <dcterms:created xsi:type="dcterms:W3CDTF">2026-09-15T20:38:00Z</dcterms:created>
  <dcterms:modified xsi:type="dcterms:W3CDTF">2026-09-17T02:44:00Z</dcterms:modified>
</cp:coreProperties>
</file>